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300" w:lineRule="atLeast"/>
        <w:jc w:val="right"/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ело № 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628</w:t>
      </w:r>
      <w:r>
        <w:rPr>
          <w:rFonts w:ascii="Times New Roman" w:eastAsia="Times New Roman" w:hAnsi="Times New Roman" w:cs="Times New Roman"/>
          <w:sz w:val="28"/>
          <w:szCs w:val="28"/>
        </w:rPr>
        <w:t>-26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firstLine="567"/>
        <w:rPr>
          <w:sz w:val="28"/>
          <w:szCs w:val="28"/>
        </w:rPr>
      </w:pPr>
    </w:p>
    <w:p>
      <w:pPr>
        <w:spacing w:before="0" w:after="0"/>
        <w:ind w:firstLine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06 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судебного участка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автономного округа – Югры Король Е.П., находящ</w:t>
      </w:r>
      <w:r>
        <w:rPr>
          <w:rFonts w:ascii="Times New Roman" w:eastAsia="Times New Roman" w:hAnsi="Times New Roman" w:cs="Times New Roman"/>
          <w:sz w:val="28"/>
          <w:szCs w:val="28"/>
        </w:rPr>
        <w:t>егося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г.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eastAsia="Times New Roman" w:hAnsi="Times New Roman" w:cs="Times New Roman"/>
          <w:sz w:val="28"/>
          <w:szCs w:val="28"/>
        </w:rPr>
        <w:t>Гагарина д. 9 каб. 205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рассмотрев материалы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Джураева Аббосбека Джумаевича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7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, предусмотренно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</w:rPr>
        <w:t>12.12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20.03.2026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Style w:val="cat-Timegrp-26rplc-14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Джураев А.Д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Нефтеюганске, </w:t>
      </w:r>
      <w:r>
        <w:rPr>
          <w:rStyle w:val="cat-UserDefinedgrp-38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управля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ранспортным средством </w:t>
      </w:r>
      <w:r>
        <w:rPr>
          <w:rStyle w:val="cat-CarMakeModelgrp-27rplc-18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CarNumbergrp-28rplc-19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осуществил проезд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на запрещающий сигнал светофора (желтый). Д</w:t>
      </w:r>
      <w:r>
        <w:rPr>
          <w:rFonts w:ascii="Times New Roman" w:eastAsia="Times New Roman" w:hAnsi="Times New Roman" w:cs="Times New Roman"/>
          <w:sz w:val="28"/>
          <w:szCs w:val="28"/>
        </w:rPr>
        <w:t>анное административное правонарушение совершено им повторно</w:t>
      </w:r>
      <w:r>
        <w:rPr>
          <w:rFonts w:ascii="Times New Roman" w:eastAsia="Times New Roman" w:hAnsi="Times New Roman" w:cs="Times New Roman"/>
          <w:sz w:val="28"/>
          <w:szCs w:val="28"/>
        </w:rPr>
        <w:t>, постановление № 18810586250804041096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03.08.2025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ч. 1 ст. 12.12. КоАП РФ </w:t>
      </w:r>
      <w:r>
        <w:rPr>
          <w:rFonts w:ascii="Times New Roman" w:eastAsia="Times New Roman" w:hAnsi="Times New Roman" w:cs="Times New Roman"/>
          <w:sz w:val="28"/>
          <w:szCs w:val="28"/>
        </w:rPr>
        <w:t>вступило в законную силу 15.08.2025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, чем нарушил п. 6.2 ПДД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дела об административном правонарушении привлекаемый, будучи извещенный надлежащим образом о времени и месте судебного разбирательства (п. 6 постановления Пленума ВС РФ от 24.03.2005 г. № 5), не присутствовал,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письменном заявлении просил рассмотреть дело в его отсутствие, указав, что вину признает, с нарушением согласен. </w:t>
      </w:r>
      <w:r>
        <w:rPr>
          <w:rFonts w:ascii="Times New Roman" w:eastAsia="Times New Roman" w:hAnsi="Times New Roman" w:cs="Times New Roman"/>
          <w:sz w:val="28"/>
          <w:szCs w:val="28"/>
        </w:rPr>
        <w:t>При таких обстоятельствах и на основании ст. 25.1 КоАП РФ судья полагает возможным рассмотреть дело в отсутствие лица, в отношении которого ведется производство по делу, по имеющимся доказательствам.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сследовав материалы дела, мировой судья приходит к следующему.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hyperlink r:id="rId4" w:anchor="/document/12125267/entry/12123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ч. 3 ст. 12.12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повторное совершение административного правонарушения, предусмотренного частью 1 </w:t>
      </w:r>
      <w:r>
        <w:rPr>
          <w:rFonts w:ascii="Times New Roman" w:eastAsia="Times New Roman" w:hAnsi="Times New Roman" w:cs="Times New Roman"/>
          <w:sz w:val="28"/>
          <w:szCs w:val="28"/>
        </w:rPr>
        <w:t>данной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статьи, влечет наложение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размере семи тысяч пятисот рублей или лишение права управления транспортными средствами на срок от четырех до шести месяцев.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hyperlink r:id="rId4" w:anchor="/document/1305770/entry/100013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п.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1.3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 Дорожного Движения РФ, участники дорожного движения обязаны знать и соблюдать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относящиеся к ним требования Правил, сигналов светофоров, знаков и разметки.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</w:t>
      </w:r>
      <w:hyperlink r:id="rId4" w:anchor="/document/1305770/entry/6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п.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6.2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ПДД РФ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руглые сигналы светофора имеют следующие значения: зеленый сигнал разрешает движение; зеленый мигающий сигнал разрешает движение и информирует, что время его действия истекает и вскоре будет включен запрещающий сигнал (для информирования водителей о времени в секундах,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остающемся до конца горения зеленого сигнала, могут применяться цифровые табло); желтый сигнал запрещает движение, кроме случаев, предусмотренных </w:t>
      </w:r>
      <w:hyperlink r:id="rId5" w:anchor="/document/1305770/entry/61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пунктом 6.14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Правил, и предупреждает о предстоящей смене сигналов; желтый мигающий сигнал разрешает движение и информирует о наличии нерегулируемого </w:t>
      </w:r>
      <w:hyperlink r:id="rId5" w:anchor="/document/1305770/entry/10029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перекрестка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hyperlink r:id="rId5" w:anchor="/document/1305770/entry/1004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пешеходного перехода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предупреждает об опасности; красный сигнал, в том числе мигающий, запрещает движение. Сочетание красного и желтого сигналов запрещает движение и информирует о предстоящем включении зеленого сигнала.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hyperlink r:id="rId4" w:anchor="/document/1305770/entry/4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. 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6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3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дорожного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движения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РФ сигналы светофора, выполненные в виде стрелок красного, желтого и зеленого цветов, имеют то же значение, что и круглые сигналы соответствующего цвета, но их действие распространяется только на направление (направления), указываемое стрелками. При этом стрелка, разрешающая поворот налево, разрешает и разворот, если это не запрещено соответствующим дорожным знаком. Такое же значение имеет зеленая стрелка в дополнительной секции. Выключенный сигнал дополнительной секции означает запрещение движения в направлении, регулируемом этой секцией.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z w:val="28"/>
          <w:szCs w:val="28"/>
        </w:rPr>
        <w:t>Джураева А.Д.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 подтверждается исследованными по делу 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ХМ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732410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20.03.2026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постановления № 18810586250804041096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04.08.2025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о назначении е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наказания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 12.12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оАП РФ в виде штрафа в размере </w:t>
      </w:r>
      <w:r>
        <w:rPr>
          <w:rStyle w:val="cat-Sumgrp-19rplc-2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вступивше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15.08.2025 года;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данными специального технического средства; отчетом об отслеживании почтового отправления; </w:t>
      </w:r>
      <w:r>
        <w:rPr>
          <w:rFonts w:ascii="Times New Roman" w:eastAsia="Times New Roman" w:hAnsi="Times New Roman" w:cs="Times New Roman"/>
          <w:sz w:val="28"/>
          <w:szCs w:val="28"/>
        </w:rPr>
        <w:t>карточкой правонарушения; карточкой операции с ВУ;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карточкой учета транспортного средства;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реестром правонарушений;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CD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диском с видеозаписью совершенного правонарушения.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Приведенные выше доказательства получены с соблюдением установленного законом порядка, отвечают требованиям относимости, допустимости и достаточности, отнесены </w:t>
      </w:r>
      <w:r>
        <w:rPr>
          <w:rFonts w:ascii="Times New Roman" w:eastAsia="Times New Roman" w:hAnsi="Times New Roman" w:cs="Times New Roman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hyperlink r:id="rId6" w:tgtFrame="_blank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26.2 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КоАП 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РФ </w:t>
      </w:r>
      <w:r>
        <w:rPr>
          <w:rFonts w:ascii="Times New Roman" w:eastAsia="Times New Roman" w:hAnsi="Times New Roman" w:cs="Times New Roman"/>
          <w:sz w:val="28"/>
          <w:szCs w:val="28"/>
        </w:rPr>
        <w:t>к числу доказательств, имеющих значение для правильного разрешения дела, и исключают какие-либо сомнения в виновности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Джураева А.Д.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рассматриваемого административного правонарушения. 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арушений при составлении протокола об административном правонарушении, судом не установлено, протокол составлен уполномоченным должностным лицом, существенных нарушений требования закона, влекущих признание протокола недопустимым доказательством, при его составлении не допущено.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7" w:anchor="/document/12125267/entry/4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4.6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постановления, за исключением случая, предусмотренного ч. 2 данной статьи. Лицо, которому назначено административное наказание в виде административного штрафа за совершение административного правонарушения и которое уплатило административный штраф до дня вступления в законную силу соответствующего постановления о назначении административного наказания, считается подвергнутым данному наказанию со дня вступления в законную силу указанного постановления до истечения одного года со дня уплаты административного штрафа.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 следует из материалов дела, постановлением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инспектора по ИАЗ ЦАФАП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ОДД ГИБДД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МВД России по </w:t>
      </w:r>
      <w:r>
        <w:rPr>
          <w:rFonts w:ascii="Times New Roman" w:eastAsia="Times New Roman" w:hAnsi="Times New Roman" w:cs="Times New Roman"/>
          <w:sz w:val="28"/>
          <w:szCs w:val="28"/>
        </w:rPr>
        <w:t>ХМАО-Югре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№ </w:t>
      </w:r>
      <w:r>
        <w:rPr>
          <w:rFonts w:ascii="Times New Roman" w:eastAsia="Times New Roman" w:hAnsi="Times New Roman" w:cs="Times New Roman"/>
          <w:sz w:val="28"/>
          <w:szCs w:val="28"/>
        </w:rPr>
        <w:t>18810586250804041096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04.08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собственник (владелец)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транспортного средства </w:t>
      </w:r>
      <w:r>
        <w:rPr>
          <w:rStyle w:val="cat-CarMakeModelgrp-27rplc-31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CarNumbergrp-29rplc-32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Джураев А.Д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признан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7" w:anchor="/document/12125267/entry/12150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ч. 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 ст. 12.1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КоАП РФ и подвергнут наказанию в виде штрафа в размере </w:t>
      </w:r>
      <w:r>
        <w:rPr>
          <w:rStyle w:val="cat-Sumgrp-20rplc-3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который исходя 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карточки правонарушения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материалах дела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оплачен в сумме </w:t>
      </w:r>
      <w:r>
        <w:rPr>
          <w:rStyle w:val="cat-Sumgrp-21rplc-35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Джураев А.Д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установленном законом порядке данное постановление не обжаловал, поэтому оно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15.08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Следовательно, годичный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окончания исполнения данного постановления на момент совершения правонарушения – </w:t>
      </w:r>
      <w:r>
        <w:rPr>
          <w:rFonts w:ascii="Times New Roman" w:eastAsia="Times New Roman" w:hAnsi="Times New Roman" w:cs="Times New Roman"/>
          <w:sz w:val="28"/>
          <w:szCs w:val="28"/>
        </w:rPr>
        <w:t>20.03.2026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не истек, то есть </w:t>
      </w:r>
      <w:r>
        <w:rPr>
          <w:rFonts w:ascii="Times New Roman" w:eastAsia="Times New Roman" w:hAnsi="Times New Roman" w:cs="Times New Roman"/>
          <w:sz w:val="28"/>
          <w:szCs w:val="28"/>
        </w:rPr>
        <w:t>Джураев А.Д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является лицом,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повторно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совершившим аналогичное административное правонарушение. В этой связи оценив собранные по делу доказательства в их совокупности по правилам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7" w:anchor="/document/12125267/entry/261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26.11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КоАП РФ мировой судья приходит к выводу о наличии в действиях </w:t>
      </w:r>
      <w:r>
        <w:rPr>
          <w:rFonts w:ascii="Times New Roman" w:eastAsia="Times New Roman" w:hAnsi="Times New Roman" w:cs="Times New Roman"/>
          <w:sz w:val="28"/>
          <w:szCs w:val="28"/>
        </w:rPr>
        <w:t>Джураева А.Д.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состава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7" w:anchor="/document/12125267/entry/12150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ч. 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3 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12.1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и, следовательно, законных оснований для привлечения 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за совершение указанного 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Оснований для прекращения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производства по делу, переквалификации действий </w:t>
      </w:r>
      <w:r>
        <w:rPr>
          <w:rFonts w:ascii="Times New Roman" w:eastAsia="Times New Roman" w:hAnsi="Times New Roman" w:cs="Times New Roman"/>
          <w:sz w:val="28"/>
          <w:szCs w:val="28"/>
        </w:rPr>
        <w:t>Джураевым А.Д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установлено.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назначении вида и размера административного наказания, мировой судья учитывает личность виновного, обстоятельства, смягчающие и отягчающие административную ответственность, характер совершенного правонарушения, а также то, что в соответствии со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7" w:anchor="/document/12125267/entry/3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3.1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КоАП РФ наказание должно иметь своей целью предупреждение совершения новых правонарушений, как самим правонарушителем, так и другими лицами.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исключающих производство по делу об административном правонарушении и возможность рассмотрения дела об административном правонарушении, не имеется. 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ом, смягчающим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административную ответственность, </w:t>
      </w:r>
      <w:r>
        <w:rPr>
          <w:rFonts w:ascii="Times New Roman" w:eastAsia="Times New Roman" w:hAnsi="Times New Roman" w:cs="Times New Roman"/>
          <w:sz w:val="28"/>
          <w:szCs w:val="28"/>
        </w:rPr>
        <w:t>является признание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Джураевым А.Д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вины.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Обстоятельством, отягчающим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суд признает повторное совершение </w:t>
      </w:r>
      <w:r>
        <w:rPr>
          <w:rFonts w:ascii="Times New Roman" w:eastAsia="Times New Roman" w:hAnsi="Times New Roman" w:cs="Times New Roman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однородного административного правонарушения.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 имеющегося в материалах дела реестра правонарушений следует, что </w:t>
      </w:r>
      <w:r>
        <w:rPr>
          <w:rFonts w:ascii="Times New Roman" w:eastAsia="Times New Roman" w:hAnsi="Times New Roman" w:cs="Times New Roman"/>
          <w:sz w:val="28"/>
          <w:szCs w:val="28"/>
        </w:rPr>
        <w:t>Джураев А.Д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в течении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2025 года и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неоднократно </w:t>
      </w:r>
      <w:r>
        <w:rPr>
          <w:rFonts w:ascii="Times New Roman" w:eastAsia="Times New Roman" w:hAnsi="Times New Roman" w:cs="Times New Roman"/>
          <w:sz w:val="28"/>
          <w:szCs w:val="28"/>
        </w:rPr>
        <w:t>подвергался административным наказаниям в виде штрафа за совершение административных правонарушений в области дорожного движения, предусмотренных главой 12 КоАП РФ. По смыслу закона административные правонарушения, предусмотренные главой 12 КоАП РФ, являются однородными, поскольку имеют единый родовой объект посягательств.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том изложенного, </w:t>
      </w:r>
      <w:r>
        <w:rPr>
          <w:rFonts w:ascii="Times New Roman" w:eastAsia="Times New Roman" w:hAnsi="Times New Roman" w:cs="Times New Roman"/>
          <w:sz w:val="28"/>
          <w:szCs w:val="28"/>
        </w:rPr>
        <w:t>принимая во внимание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общественную опасность деяния, характер совершенного правонарушения, личность нарушителя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отношение последнего к содеянному,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приходит к выводу, что необходимым и достаточным для исправления правонарушителя будет являться наказание в виде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29.9-29.11 КоАП РФ, 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Джураева Аббосбека Джумаевича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3 ст. 12.12 КоАП РФ и подвергнуть наказанию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штрафа в размере </w:t>
      </w:r>
      <w:r>
        <w:rPr>
          <w:rStyle w:val="cat-Sumgrp-22rplc-4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подлежит уплате по реквизитам: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получатель УФК по Ханты-Мансийскому автономному округу-Югре (УМВД России по ХМАО-Югре), Банк: ОКЦ № 8 УГУ Банка России//УФК по Ханты-Мансийскому автономному округу-Югре г. Ханты-Мансийск, счет получателя (номер казначейского счета): 03100643000000018700, банковский счет, входящий в состав единого казначейского счета (ЕКС) 40102810245370000007, БИК 007162163, </w:t>
      </w:r>
      <w:r>
        <w:rPr>
          <w:rFonts w:ascii="Times New Roman" w:eastAsia="Times New Roman" w:hAnsi="Times New Roman" w:cs="Times New Roman"/>
          <w:sz w:val="28"/>
          <w:szCs w:val="28"/>
        </w:rPr>
        <w:t>ОКТМО 7187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>, ИНН 8601010390, КПП 860101001; КБК 18811601123010001140; УИН 188104862</w:t>
      </w:r>
      <w:r>
        <w:rPr>
          <w:rFonts w:ascii="Times New Roman" w:eastAsia="Times New Roman" w:hAnsi="Times New Roman" w:cs="Times New Roman"/>
          <w:sz w:val="28"/>
          <w:szCs w:val="28"/>
        </w:rPr>
        <w:t>60290003251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Неуплата административного штрафа в установленный законом срок влечет административную ответственность по ч. 1 ст. 20.25 КоАП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по адресу: г. Сургут ул. Гагарина д. 9 каб. </w:t>
      </w:r>
      <w:r>
        <w:rPr>
          <w:rFonts w:ascii="Times New Roman" w:eastAsia="Times New Roman" w:hAnsi="Times New Roman" w:cs="Times New Roman"/>
          <w:sz w:val="28"/>
          <w:szCs w:val="28"/>
        </w:rPr>
        <w:t>105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либо направить на электронный адрес: Surgut10@mirsud86.ru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городской суд путем подачи жалобы через миро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Е.П. Король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«Копия верна»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Е.П. Король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sectPr>
      <w:footerReference w:type="default" r:id="rId8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3479537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7rplc-7">
    <w:name w:val="cat-UserDefined grp-37 rplc-7"/>
    <w:basedOn w:val="DefaultParagraphFont"/>
  </w:style>
  <w:style w:type="character" w:customStyle="1" w:styleId="cat-Timegrp-26rplc-14">
    <w:name w:val="cat-Time grp-26 rplc-14"/>
    <w:basedOn w:val="DefaultParagraphFont"/>
  </w:style>
  <w:style w:type="character" w:customStyle="1" w:styleId="cat-UserDefinedgrp-38rplc-17">
    <w:name w:val="cat-UserDefined grp-38 rplc-17"/>
    <w:basedOn w:val="DefaultParagraphFont"/>
  </w:style>
  <w:style w:type="character" w:customStyle="1" w:styleId="cat-CarMakeModelgrp-27rplc-18">
    <w:name w:val="cat-CarMakeModel grp-27 rplc-18"/>
    <w:basedOn w:val="DefaultParagraphFont"/>
  </w:style>
  <w:style w:type="character" w:customStyle="1" w:styleId="cat-CarNumbergrp-28rplc-19">
    <w:name w:val="cat-CarNumber grp-28 rplc-19"/>
    <w:basedOn w:val="DefaultParagraphFont"/>
  </w:style>
  <w:style w:type="character" w:customStyle="1" w:styleId="cat-Sumgrp-19rplc-27">
    <w:name w:val="cat-Sum grp-19 rplc-27"/>
    <w:basedOn w:val="DefaultParagraphFont"/>
  </w:style>
  <w:style w:type="character" w:customStyle="1" w:styleId="cat-CarMakeModelgrp-27rplc-31">
    <w:name w:val="cat-CarMakeModel grp-27 rplc-31"/>
    <w:basedOn w:val="DefaultParagraphFont"/>
  </w:style>
  <w:style w:type="character" w:customStyle="1" w:styleId="cat-CarNumbergrp-29rplc-32">
    <w:name w:val="cat-CarNumber grp-29 rplc-32"/>
    <w:basedOn w:val="DefaultParagraphFont"/>
  </w:style>
  <w:style w:type="character" w:customStyle="1" w:styleId="cat-Sumgrp-20rplc-34">
    <w:name w:val="cat-Sum grp-20 rplc-34"/>
    <w:basedOn w:val="DefaultParagraphFont"/>
  </w:style>
  <w:style w:type="character" w:customStyle="1" w:styleId="cat-Sumgrp-21rplc-35">
    <w:name w:val="cat-Sum grp-21 rplc-35"/>
    <w:basedOn w:val="DefaultParagraphFont"/>
  </w:style>
  <w:style w:type="character" w:customStyle="1" w:styleId="cat-Sumgrp-22rplc-46">
    <w:name w:val="cat-Sum grp-22 rplc-46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s://mobileonline.garant.ru/" TargetMode="External" /><Relationship Id="rId6" Type="http://schemas.openxmlformats.org/officeDocument/2006/relationships/hyperlink" Target="https://sudact.ru/law/koap/razdel-iv/glava-26/statia-26.2/" TargetMode="External" /><Relationship Id="rId7" Type="http://schemas.openxmlformats.org/officeDocument/2006/relationships/hyperlink" Target="https://msud.garant.ru/" TargetMode="External" /><Relationship Id="rId8" Type="http://schemas.openxmlformats.org/officeDocument/2006/relationships/footer" Target="footer1.xml" /><Relationship Id="rId9" Type="http://schemas.openxmlformats.org/officeDocument/2006/relationships/glossaryDocument" Target="glossary/document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58146-BB53-4325-A23F-8990A4366239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